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64CB" w:rsidRDefault="00E730D7" w:rsidP="00F764CB">
      <w:pPr>
        <w:rPr>
          <w:rFonts w:ascii="Arial" w:hAnsi="Arial"/>
          <w:b/>
          <w:sz w:val="28"/>
        </w:rPr>
      </w:pPr>
      <w:r>
        <w:rPr>
          <w:rFonts w:ascii="Arial" w:hAnsi="Arial"/>
          <w:b/>
          <w:noProof/>
          <w:sz w:val="28"/>
          <w:lang w:eastAsia="de-DE"/>
        </w:rPr>
        <w:drawing>
          <wp:inline distT="0" distB="0" distL="0" distR="0">
            <wp:extent cx="5745589" cy="3007985"/>
            <wp:effectExtent l="25400" t="0" r="0" b="0"/>
            <wp:docPr id="1" name="Bild 0" descr="flir-sick_ag_app-note_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ir-sick_ag_app-note_header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5589" cy="300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4CB" w:rsidRDefault="00F764CB" w:rsidP="00F764CB">
      <w:pPr>
        <w:rPr>
          <w:rFonts w:ascii="Arial" w:hAnsi="Arial"/>
          <w:b/>
          <w:sz w:val="28"/>
        </w:rPr>
      </w:pPr>
    </w:p>
    <w:p w:rsidR="00F764CB" w:rsidRPr="00F764CB" w:rsidRDefault="00B84AF2" w:rsidP="00F764CB">
      <w:pPr>
        <w:rPr>
          <w:rFonts w:ascii="Arial" w:hAnsi="Arial"/>
          <w:b/>
          <w:sz w:val="28"/>
        </w:rPr>
      </w:pPr>
      <w:r w:rsidRPr="00B84AF2">
        <w:rPr>
          <w:rFonts w:ascii="Arial" w:hAnsi="Arial"/>
          <w:b/>
          <w:sz w:val="28"/>
        </w:rPr>
        <w:t xml:space="preserve">Entscheidung der Europäischen Union zur Reduzierung der Methanemissionen 2024/1787: Die Einhaltung der Vorschriften erfordert eine quantitative optische </w:t>
      </w:r>
      <w:proofErr w:type="spellStart"/>
      <w:r w:rsidRPr="00B84AF2">
        <w:rPr>
          <w:rFonts w:ascii="Arial" w:hAnsi="Arial"/>
          <w:b/>
          <w:sz w:val="28"/>
        </w:rPr>
        <w:t>Gasbildgebung</w:t>
      </w:r>
      <w:proofErr w:type="spellEnd"/>
      <w:r w:rsidRPr="00B84AF2">
        <w:rPr>
          <w:rFonts w:ascii="Arial" w:hAnsi="Arial"/>
          <w:b/>
          <w:sz w:val="28"/>
        </w:rPr>
        <w:t xml:space="preserve"> </w:t>
      </w:r>
    </w:p>
    <w:p w:rsidR="00F764CB" w:rsidRPr="00F764CB" w:rsidRDefault="00F764CB" w:rsidP="00F764CB">
      <w:pPr>
        <w:rPr>
          <w:rFonts w:ascii="Arial" w:hAnsi="Arial"/>
        </w:rPr>
      </w:pPr>
    </w:p>
    <w:p w:rsidR="001F6053" w:rsidRPr="00AE64DA" w:rsidRDefault="001F6053" w:rsidP="001F6053">
      <w:pPr>
        <w:rPr>
          <w:rFonts w:ascii="Arial" w:hAnsi="Arial"/>
          <w:b/>
        </w:rPr>
      </w:pPr>
      <w:r>
        <w:rPr>
          <w:rFonts w:ascii="Arial" w:hAnsi="Arial"/>
          <w:b/>
        </w:rPr>
        <w:t>2024</w:t>
      </w:r>
      <w:r w:rsidRPr="00B84AF2">
        <w:rPr>
          <w:rFonts w:ascii="Arial" w:hAnsi="Arial"/>
          <w:b/>
        </w:rPr>
        <w:t xml:space="preserve"> hat die Europäische Union (EU) ihre mit Spannung erwartete gesetzliche Vorschrift zur Methanregulierung angekündigt</w:t>
      </w:r>
      <w:r>
        <w:rPr>
          <w:rStyle w:val="Funotenzeichen"/>
          <w:rFonts w:ascii="Arial" w:hAnsi="Arial"/>
          <w:b/>
        </w:rPr>
        <w:footnoteReference w:id="0"/>
      </w:r>
      <w:r w:rsidRPr="00AE64DA">
        <w:rPr>
          <w:rFonts w:ascii="Arial" w:hAnsi="Arial"/>
          <w:b/>
        </w:rPr>
        <w:t xml:space="preserve">. </w:t>
      </w:r>
      <w:r w:rsidRPr="00B84AF2">
        <w:rPr>
          <w:rFonts w:ascii="Arial" w:hAnsi="Arial"/>
          <w:b/>
        </w:rPr>
        <w:t xml:space="preserve">Im Gegensatz zu den Ende letzten Jahres von der US-Umweltschutzbehörde (EPA) verabschiedeten Vorschriften zur Erkennung und Reparatur von Leckagen bei Methan- </w:t>
      </w:r>
      <w:r w:rsidR="00CC0D35">
        <w:rPr>
          <w:rFonts w:ascii="Arial" w:hAnsi="Arial"/>
          <w:b/>
        </w:rPr>
        <w:t>sowie</w:t>
      </w:r>
      <w:r w:rsidRPr="00B84AF2">
        <w:rPr>
          <w:rFonts w:ascii="Arial" w:hAnsi="Arial"/>
          <w:b/>
        </w:rPr>
        <w:t xml:space="preserve"> Öl- und Gasemissionen (LDAR)</w:t>
      </w:r>
      <w:r>
        <w:rPr>
          <w:rStyle w:val="Funotenzeichen"/>
          <w:rFonts w:ascii="Arial" w:hAnsi="Arial"/>
          <w:b/>
        </w:rPr>
        <w:footnoteReference w:id="1"/>
      </w:r>
      <w:r w:rsidRPr="00B84AF2">
        <w:rPr>
          <w:rFonts w:ascii="Arial" w:hAnsi="Arial"/>
          <w:b/>
        </w:rPr>
        <w:t xml:space="preserve"> ist diese Vorschrift wesentlich strenger und erfordert sowohl die Erkennung als auch die Quantifizierung von Methangas. Mit dieser zusätzlichen Detailebene können Unternehmen ihre Emissionsauswirkungen besser verstehen und genauere Bestandsaufnahmen</w:t>
      </w:r>
      <w:r>
        <w:rPr>
          <w:rFonts w:ascii="Arial" w:hAnsi="Arial"/>
          <w:b/>
        </w:rPr>
        <w:t xml:space="preserve"> der Methanemissionen erstellen</w:t>
      </w:r>
      <w:r w:rsidRPr="00334991">
        <w:rPr>
          <w:rFonts w:ascii="Arial" w:hAnsi="Arial"/>
          <w:b/>
        </w:rPr>
        <w:t>.</w:t>
      </w:r>
    </w:p>
    <w:p w:rsidR="00AE64DA" w:rsidRDefault="00AE64DA" w:rsidP="00334991">
      <w:pPr>
        <w:rPr>
          <w:rFonts w:ascii="Arial" w:hAnsi="Arial"/>
        </w:rPr>
      </w:pPr>
    </w:p>
    <w:p w:rsidR="00C72B97" w:rsidRDefault="00C72B97" w:rsidP="00AE64DA">
      <w:pPr>
        <w:rPr>
          <w:rFonts w:ascii="Arial" w:hAnsi="Arial"/>
        </w:rPr>
      </w:pPr>
      <w:r w:rsidRPr="00C72B97">
        <w:rPr>
          <w:rFonts w:ascii="Arial" w:hAnsi="Arial"/>
        </w:rPr>
        <w:t>Diese Vorschrift baut auf der endgültigen Zustimmung der EU-Minister zur Einführung von Methanemissionsgrenzwerten für europäische Öl- und Gasimporte ab 2030</w:t>
      </w:r>
      <w:r w:rsidR="00F1667F">
        <w:rPr>
          <w:rStyle w:val="Funotenzeichen"/>
          <w:rFonts w:ascii="Arial" w:hAnsi="Arial"/>
        </w:rPr>
        <w:footnoteReference w:id="2"/>
      </w:r>
      <w:r w:rsidRPr="00C72B97">
        <w:rPr>
          <w:rFonts w:ascii="Arial" w:hAnsi="Arial"/>
        </w:rPr>
        <w:t xml:space="preserve"> auf</w:t>
      </w:r>
      <w:r w:rsidR="00F1667F">
        <w:rPr>
          <w:rFonts w:ascii="Arial" w:hAnsi="Arial"/>
        </w:rPr>
        <w:t xml:space="preserve">, </w:t>
      </w:r>
      <w:r w:rsidRPr="00C72B97">
        <w:rPr>
          <w:rFonts w:ascii="Arial" w:hAnsi="Arial"/>
        </w:rPr>
        <w:t xml:space="preserve">und setzt die internationalen Lieferanten unter Druck, den Ausstoß </w:t>
      </w:r>
      <w:r w:rsidR="001252B6">
        <w:rPr>
          <w:rFonts w:ascii="Arial" w:hAnsi="Arial"/>
        </w:rPr>
        <w:t>von Methan als starkem Treibhausgas</w:t>
      </w:r>
      <w:r w:rsidRPr="00C72B97">
        <w:rPr>
          <w:rFonts w:ascii="Arial" w:hAnsi="Arial"/>
        </w:rPr>
        <w:t xml:space="preserve"> zu verringern.</w:t>
      </w:r>
    </w:p>
    <w:p w:rsidR="00AE64DA" w:rsidRPr="00AE64DA" w:rsidRDefault="00AE64DA" w:rsidP="00AE64DA">
      <w:pPr>
        <w:rPr>
          <w:rFonts w:ascii="Arial" w:hAnsi="Arial"/>
        </w:rPr>
      </w:pPr>
    </w:p>
    <w:p w:rsidR="00AE64DA" w:rsidRPr="00AE64DA" w:rsidRDefault="00C72B97" w:rsidP="00AE64DA">
      <w:pPr>
        <w:rPr>
          <w:rFonts w:ascii="Arial" w:hAnsi="Arial"/>
        </w:rPr>
      </w:pPr>
      <w:r w:rsidRPr="00C72B97">
        <w:rPr>
          <w:rFonts w:ascii="Arial" w:hAnsi="Arial"/>
        </w:rPr>
        <w:t>Die jüngste Ankündigung</w:t>
      </w:r>
      <w:r w:rsidR="00F1667F">
        <w:rPr>
          <w:rStyle w:val="Funotenzeichen"/>
          <w:rFonts w:ascii="Arial" w:hAnsi="Arial"/>
        </w:rPr>
        <w:footnoteReference w:id="3"/>
      </w:r>
      <w:r w:rsidRPr="00C72B97">
        <w:rPr>
          <w:rFonts w:ascii="Arial" w:hAnsi="Arial"/>
        </w:rPr>
        <w:t xml:space="preserve"> </w:t>
      </w:r>
      <w:r w:rsidR="001252B6">
        <w:rPr>
          <w:rFonts w:ascii="Arial" w:hAnsi="Arial"/>
        </w:rPr>
        <w:t>setzt die Vorschrift um</w:t>
      </w:r>
      <w:r w:rsidRPr="00C72B97">
        <w:rPr>
          <w:rFonts w:ascii="Arial" w:hAnsi="Arial"/>
        </w:rPr>
        <w:t xml:space="preserve">, die </w:t>
      </w:r>
      <w:r w:rsidR="001252B6">
        <w:rPr>
          <w:rFonts w:ascii="Arial" w:hAnsi="Arial"/>
        </w:rPr>
        <w:t>eine</w:t>
      </w:r>
      <w:r w:rsidRPr="00C72B97">
        <w:rPr>
          <w:rFonts w:ascii="Arial" w:hAnsi="Arial"/>
        </w:rPr>
        <w:t xml:space="preserve"> Erkennung von Methanlecks speziell in der </w:t>
      </w:r>
      <w:proofErr w:type="spellStart"/>
      <w:r w:rsidRPr="00C72B97">
        <w:rPr>
          <w:rFonts w:ascii="Arial" w:hAnsi="Arial"/>
        </w:rPr>
        <w:t>vorgelagerten</w:t>
      </w:r>
      <w:proofErr w:type="spellEnd"/>
      <w:r w:rsidRPr="00C72B97">
        <w:rPr>
          <w:rFonts w:ascii="Arial" w:hAnsi="Arial"/>
        </w:rPr>
        <w:t xml:space="preserve"> Exploration und Produktion</w:t>
      </w:r>
      <w:r w:rsidR="001252B6">
        <w:rPr>
          <w:rFonts w:ascii="Arial" w:hAnsi="Arial"/>
        </w:rPr>
        <w:t xml:space="preserve"> </w:t>
      </w:r>
      <w:r w:rsidR="001252B6" w:rsidRPr="00C72B97">
        <w:rPr>
          <w:rFonts w:ascii="Arial" w:hAnsi="Arial"/>
        </w:rPr>
        <w:t>vorschreibt</w:t>
      </w:r>
      <w:r w:rsidR="001252B6">
        <w:rPr>
          <w:rFonts w:ascii="Arial" w:hAnsi="Arial"/>
        </w:rPr>
        <w:t xml:space="preserve"> – </w:t>
      </w:r>
      <w:r w:rsidRPr="00C72B97">
        <w:rPr>
          <w:rFonts w:ascii="Arial" w:hAnsi="Arial"/>
        </w:rPr>
        <w:t>einschließli</w:t>
      </w:r>
      <w:r w:rsidR="001252B6">
        <w:rPr>
          <w:rFonts w:ascii="Arial" w:hAnsi="Arial"/>
        </w:rPr>
        <w:t xml:space="preserve">ch aller Arten von Bohrlöchern </w:t>
      </w:r>
      <w:r w:rsidRPr="00C72B97">
        <w:rPr>
          <w:rFonts w:ascii="Arial" w:hAnsi="Arial"/>
        </w:rPr>
        <w:t xml:space="preserve">sowie in der Gewinnung, Verarbeitung, </w:t>
      </w:r>
      <w:r w:rsidR="001252B6">
        <w:rPr>
          <w:rFonts w:ascii="Arial" w:hAnsi="Arial"/>
        </w:rPr>
        <w:t>Transport</w:t>
      </w:r>
      <w:r w:rsidRPr="00C72B97">
        <w:rPr>
          <w:rFonts w:ascii="Arial" w:hAnsi="Arial"/>
        </w:rPr>
        <w:t>, Verteilung und unterirdische</w:t>
      </w:r>
      <w:r w:rsidR="001252B6">
        <w:rPr>
          <w:rFonts w:ascii="Arial" w:hAnsi="Arial"/>
        </w:rPr>
        <w:t>n Speicherung von fossilem Gas (</w:t>
      </w:r>
      <w:r w:rsidRPr="00C72B97">
        <w:rPr>
          <w:rFonts w:ascii="Arial" w:hAnsi="Arial"/>
        </w:rPr>
        <w:t>ein</w:t>
      </w:r>
      <w:r w:rsidR="001252B6">
        <w:rPr>
          <w:rFonts w:ascii="Arial" w:hAnsi="Arial"/>
        </w:rPr>
        <w:t>schließlich Flüssiggasterminals)</w:t>
      </w:r>
      <w:r w:rsidRPr="00C72B97">
        <w:rPr>
          <w:rFonts w:ascii="Arial" w:hAnsi="Arial"/>
        </w:rPr>
        <w:t xml:space="preserve">. </w:t>
      </w:r>
      <w:r w:rsidR="001252B6">
        <w:rPr>
          <w:rFonts w:ascii="Arial" w:hAnsi="Arial"/>
        </w:rPr>
        <w:t>Die</w:t>
      </w:r>
      <w:r w:rsidRPr="00C72B97">
        <w:rPr>
          <w:rFonts w:ascii="Arial" w:hAnsi="Arial"/>
        </w:rPr>
        <w:t xml:space="preserve"> Regelung gilt auch für in Betrieb befindliche</w:t>
      </w:r>
      <w:r w:rsidR="001252B6">
        <w:rPr>
          <w:rFonts w:ascii="Arial" w:hAnsi="Arial"/>
        </w:rPr>
        <w:t xml:space="preserve">, </w:t>
      </w:r>
      <w:r w:rsidR="001252B6" w:rsidRPr="00C72B97">
        <w:rPr>
          <w:rFonts w:ascii="Arial" w:hAnsi="Arial"/>
        </w:rPr>
        <w:t>stillgelegte oder aufgegebene</w:t>
      </w:r>
      <w:r w:rsidRPr="00C72B97">
        <w:rPr>
          <w:rFonts w:ascii="Arial" w:hAnsi="Arial"/>
        </w:rPr>
        <w:t xml:space="preserve"> unterirdische und überirdische Kohlebergwerke</w:t>
      </w:r>
      <w:r w:rsidR="00AE64DA" w:rsidRPr="00AE64DA">
        <w:rPr>
          <w:rFonts w:ascii="Arial" w:hAnsi="Arial"/>
        </w:rPr>
        <w:t>.</w:t>
      </w:r>
    </w:p>
    <w:p w:rsidR="00A566AB" w:rsidRDefault="00A566AB" w:rsidP="00AE64DA">
      <w:pPr>
        <w:rPr>
          <w:rFonts w:ascii="Arial" w:hAnsi="Arial"/>
        </w:rPr>
      </w:pPr>
    </w:p>
    <w:p w:rsidR="00A566AB" w:rsidRPr="00A566AB" w:rsidRDefault="00A566AB" w:rsidP="00A566AB">
      <w:pPr>
        <w:rPr>
          <w:rFonts w:ascii="Arial" w:hAnsi="Arial"/>
        </w:rPr>
      </w:pPr>
      <w:r w:rsidRPr="00A566AB">
        <w:rPr>
          <w:rFonts w:ascii="Arial" w:hAnsi="Arial"/>
        </w:rPr>
        <w:t xml:space="preserve">Die Entscheidung spiegelt das langfristige Engagement der EU für die Reduzierung von Emissionen wider. Nach den Daten des Green House Gas (GHG) </w:t>
      </w:r>
      <w:proofErr w:type="spellStart"/>
      <w:r w:rsidRPr="00A566AB">
        <w:rPr>
          <w:rFonts w:ascii="Arial" w:hAnsi="Arial"/>
        </w:rPr>
        <w:t>Inventory</w:t>
      </w:r>
      <w:proofErr w:type="spellEnd"/>
      <w:r w:rsidRPr="00A566AB">
        <w:rPr>
          <w:rFonts w:ascii="Arial" w:hAnsi="Arial"/>
        </w:rPr>
        <w:t xml:space="preserve"> Report der EU</w:t>
      </w:r>
      <w:r w:rsidR="00F1667F">
        <w:rPr>
          <w:rStyle w:val="Funotenzeichen"/>
          <w:rFonts w:ascii="Arial" w:hAnsi="Arial"/>
        </w:rPr>
        <w:footnoteReference w:id="4"/>
      </w:r>
      <w:r w:rsidRPr="00A566AB">
        <w:rPr>
          <w:rFonts w:ascii="Arial" w:hAnsi="Arial"/>
        </w:rPr>
        <w:t xml:space="preserve"> ist mehr als die Hälfte aller direkten Methanemissionen des Energiesektors auf die unbeabsichtigte Freisetzung von Emissionen in die Atmosphäre zurückzuführen. Daher sind die EU-Behörden der Ansicht, dass die Konzentration auf die Lokalisierung und Behebung von Methanlecks (LDAR) eine erhebliche Verringerung der Emissionen bewirken kann, um ihre jeweiligen Klimaziele zu erreichen.</w:t>
      </w:r>
    </w:p>
    <w:p w:rsidR="00AE64DA" w:rsidRPr="00AE64DA" w:rsidRDefault="00AE64DA" w:rsidP="00AE64DA">
      <w:pPr>
        <w:rPr>
          <w:rFonts w:ascii="Arial" w:hAnsi="Arial"/>
        </w:rPr>
      </w:pPr>
    </w:p>
    <w:p w:rsidR="00AE64DA" w:rsidRPr="00AE64DA" w:rsidRDefault="00A566AB" w:rsidP="00AE64DA">
      <w:pPr>
        <w:rPr>
          <w:rFonts w:ascii="Arial" w:hAnsi="Arial"/>
          <w:b/>
        </w:rPr>
      </w:pPr>
      <w:r w:rsidRPr="00A566AB">
        <w:rPr>
          <w:rFonts w:ascii="Arial" w:hAnsi="Arial"/>
          <w:b/>
        </w:rPr>
        <w:t xml:space="preserve">Fristen, Leckarten und Messungen verstehen </w:t>
      </w:r>
    </w:p>
    <w:p w:rsidR="003A2BD5" w:rsidRDefault="00A566AB" w:rsidP="003131D7">
      <w:pPr>
        <w:rPr>
          <w:rFonts w:ascii="Arial" w:hAnsi="Arial"/>
        </w:rPr>
      </w:pPr>
      <w:r w:rsidRPr="00A566AB">
        <w:rPr>
          <w:rFonts w:ascii="Arial" w:hAnsi="Arial"/>
        </w:rPr>
        <w:t xml:space="preserve">Jetzt, da die Vorschrift umgesetzt ist, müssen die betroffenen Unternehmen verschiedene </w:t>
      </w:r>
      <w:r w:rsidR="001252B6">
        <w:rPr>
          <w:rFonts w:ascii="Arial" w:hAnsi="Arial"/>
        </w:rPr>
        <w:t>Fristen für die Durchführung unterschiedlich</w:t>
      </w:r>
      <w:r w:rsidRPr="00A566AB">
        <w:rPr>
          <w:rFonts w:ascii="Arial" w:hAnsi="Arial"/>
        </w:rPr>
        <w:t xml:space="preserve">er Arten von Lecktests als Teil eines umfassenden </w:t>
      </w:r>
      <w:proofErr w:type="spellStart"/>
      <w:r w:rsidRPr="00A566AB">
        <w:rPr>
          <w:rFonts w:ascii="Arial" w:hAnsi="Arial"/>
        </w:rPr>
        <w:t>LDAR-Programms</w:t>
      </w:r>
      <w:proofErr w:type="spellEnd"/>
      <w:r w:rsidRPr="00A566AB">
        <w:rPr>
          <w:rFonts w:ascii="Arial" w:hAnsi="Arial"/>
        </w:rPr>
        <w:t xml:space="preserve"> beachten. Für alle ober- und unterirdischen Komponenten, mit Ausnahme der </w:t>
      </w:r>
      <w:r w:rsidR="001252B6">
        <w:rPr>
          <w:rFonts w:ascii="Arial" w:hAnsi="Arial"/>
        </w:rPr>
        <w:t>Transport</w:t>
      </w:r>
      <w:r w:rsidRPr="00A566AB">
        <w:rPr>
          <w:rFonts w:ascii="Arial" w:hAnsi="Arial"/>
        </w:rPr>
        <w:t>- und Verteilungsnetze, müssen Lecksuch- und Reparaturuntersuchungen nach den folgenden Zeitplänen durchgeführt werden</w:t>
      </w:r>
      <w:r w:rsidR="00AE64DA" w:rsidRPr="00AE64DA">
        <w:rPr>
          <w:rFonts w:ascii="Arial" w:hAnsi="Arial"/>
        </w:rPr>
        <w:t>:</w:t>
      </w:r>
    </w:p>
    <w:p w:rsidR="003A2BD5" w:rsidRDefault="003A2BD5" w:rsidP="003131D7">
      <w:pPr>
        <w:rPr>
          <w:rFonts w:ascii="Arial" w:hAnsi="Arial"/>
        </w:rPr>
      </w:pPr>
    </w:p>
    <w:tbl>
      <w:tblPr>
        <w:tblW w:w="8440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2760"/>
        <w:gridCol w:w="3100"/>
        <w:gridCol w:w="2580"/>
      </w:tblGrid>
      <w:tr w:rsidR="003A2BD5" w:rsidRPr="003A2BD5">
        <w:trPr>
          <w:trHeight w:val="4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Art der </w:t>
            </w:r>
            <w:proofErr w:type="spellStart"/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LDAR-Erhebung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Art der Komponente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Häufigkeit</w:t>
            </w:r>
          </w:p>
        </w:tc>
      </w:tr>
      <w:tr w:rsidR="003A2BD5" w:rsidRPr="003A2BD5">
        <w:trPr>
          <w:trHeight w:val="22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 xml:space="preserve">Typ 1 </w:t>
            </w:r>
            <w:proofErr w:type="spellStart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LDAR-Erhebung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CC0D3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CC0D35">
              <w:rPr>
                <w:rFonts w:ascii="Calibri" w:hAnsi="Calibri"/>
                <w:sz w:val="22"/>
                <w:szCs w:val="22"/>
                <w:lang w:eastAsia="de-DE"/>
              </w:rPr>
              <w:t>Kompressorstation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Unterirdische Lagerung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proofErr w:type="spellStart"/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t>LNG-Terminal</w:t>
            </w:r>
            <w:proofErr w:type="spellEnd"/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Regel- und Messstation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4 Monate</w:t>
            </w:r>
          </w:p>
        </w:tc>
      </w:tr>
      <w:tr w:rsidR="003A2BD5" w:rsidRPr="003A2BD5">
        <w:trPr>
          <w:trHeight w:val="3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Ventilstation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9 Monate</w:t>
            </w:r>
          </w:p>
        </w:tc>
      </w:tr>
      <w:tr w:rsidR="003A2BD5" w:rsidRPr="003A2BD5">
        <w:trPr>
          <w:trHeight w:val="224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 xml:space="preserve">Typ 2 </w:t>
            </w:r>
            <w:proofErr w:type="spellStart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LDAR-Erhebung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CC0D3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CC0D35">
              <w:rPr>
                <w:rFonts w:ascii="Calibri" w:hAnsi="Calibri"/>
                <w:sz w:val="22"/>
                <w:szCs w:val="22"/>
                <w:lang w:eastAsia="de-DE"/>
              </w:rPr>
              <w:t>Kompressorstation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Unterirdische Lagerung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proofErr w:type="spellStart"/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t>LNG-Terminal</w:t>
            </w:r>
            <w:proofErr w:type="spellEnd"/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Regel- und Messstation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8 Monate</w:t>
            </w:r>
          </w:p>
        </w:tc>
      </w:tr>
      <w:tr w:rsidR="003A2BD5" w:rsidRPr="003A2BD5">
        <w:trPr>
          <w:trHeight w:val="2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Ventilstation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18 Monate</w:t>
            </w:r>
          </w:p>
        </w:tc>
      </w:tr>
    </w:tbl>
    <w:p w:rsidR="00AE64DA" w:rsidRPr="00AE64DA" w:rsidRDefault="00AE64DA" w:rsidP="00AE64DA">
      <w:pPr>
        <w:rPr>
          <w:rFonts w:ascii="Arial" w:hAnsi="Arial"/>
        </w:rPr>
      </w:pPr>
    </w:p>
    <w:p w:rsidR="003A2BD5" w:rsidRDefault="003A2BD5" w:rsidP="00AE64DA">
      <w:pPr>
        <w:rPr>
          <w:rFonts w:ascii="Arial" w:hAnsi="Arial"/>
        </w:rPr>
      </w:pPr>
      <w:r w:rsidRPr="00A566AB">
        <w:rPr>
          <w:rFonts w:ascii="Arial" w:hAnsi="Arial"/>
        </w:rPr>
        <w:t xml:space="preserve">Die </w:t>
      </w:r>
      <w:r>
        <w:rPr>
          <w:rFonts w:ascii="Arial" w:hAnsi="Arial"/>
        </w:rPr>
        <w:t>zweite</w:t>
      </w:r>
      <w:r w:rsidRPr="00A566AB">
        <w:rPr>
          <w:rFonts w:ascii="Arial" w:hAnsi="Arial"/>
        </w:rPr>
        <w:t xml:space="preserve"> Tabelle gibt einen Überblick über die Mindesthäufigkeit von Lecksuch- und Reparaturuntersuchungen für alle Komponenten der Übe</w:t>
      </w:r>
      <w:r>
        <w:rPr>
          <w:rFonts w:ascii="Arial" w:hAnsi="Arial"/>
        </w:rPr>
        <w:t>rtragungs- und Verteilungsnetze</w:t>
      </w:r>
      <w:r w:rsidRPr="00AE64DA">
        <w:rPr>
          <w:rFonts w:ascii="Arial" w:hAnsi="Arial"/>
        </w:rPr>
        <w:t>:</w:t>
      </w:r>
      <w:r>
        <w:rPr>
          <w:rFonts w:ascii="Arial" w:hAnsi="Arial"/>
        </w:rPr>
        <w:br w:type="page"/>
      </w:r>
    </w:p>
    <w:tbl>
      <w:tblPr>
        <w:tblW w:w="8440" w:type="dxa"/>
        <w:tblInd w:w="57" w:type="dxa"/>
        <w:tblCellMar>
          <w:left w:w="70" w:type="dxa"/>
          <w:right w:w="70" w:type="dxa"/>
        </w:tblCellMar>
        <w:tblLook w:val="0000"/>
      </w:tblPr>
      <w:tblGrid>
        <w:gridCol w:w="2760"/>
        <w:gridCol w:w="3100"/>
        <w:gridCol w:w="2580"/>
      </w:tblGrid>
      <w:tr w:rsidR="003A2BD5" w:rsidRPr="003A2BD5">
        <w:trPr>
          <w:trHeight w:val="2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 xml:space="preserve">Art der </w:t>
            </w:r>
            <w:proofErr w:type="spellStart"/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LDAR-Erhebung</w:t>
            </w:r>
            <w:proofErr w:type="spellEnd"/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noWrap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Art der Komponente</w:t>
            </w:r>
          </w:p>
        </w:tc>
        <w:tc>
          <w:tcPr>
            <w:tcW w:w="2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:rsidR="003A2BD5" w:rsidRPr="003A2BD5" w:rsidRDefault="003A2BD5" w:rsidP="003A2BD5">
            <w:pPr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</w:pPr>
            <w:r w:rsidRPr="003A2BD5">
              <w:rPr>
                <w:rFonts w:ascii="Arial" w:hAnsi="Arial"/>
                <w:b/>
                <w:bCs/>
                <w:sz w:val="20"/>
                <w:szCs w:val="20"/>
                <w:lang w:eastAsia="de-DE"/>
              </w:rPr>
              <w:t>Häufigkeit</w:t>
            </w:r>
          </w:p>
        </w:tc>
      </w:tr>
      <w:tr w:rsidR="003A2BD5" w:rsidRPr="003A2BD5">
        <w:trPr>
          <w:trHeight w:val="112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 xml:space="preserve">Typ 1 </w:t>
            </w:r>
            <w:proofErr w:type="spellStart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LDAR-Erhebung</w:t>
            </w:r>
            <w:proofErr w:type="spellEnd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(Auslegungsdruck &gt; 16 bar)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CC0D3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CC0D35">
              <w:rPr>
                <w:rFonts w:ascii="Calibri" w:hAnsi="Calibri"/>
                <w:sz w:val="22"/>
                <w:szCs w:val="22"/>
                <w:lang w:eastAsia="de-DE"/>
              </w:rPr>
              <w:t>Kompressorstation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Regel- und Messstation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4 Monate</w:t>
            </w:r>
          </w:p>
        </w:tc>
      </w:tr>
      <w:tr w:rsidR="003A2BD5" w:rsidRPr="003A2BD5">
        <w:trPr>
          <w:trHeight w:val="2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Ventilstation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9 Monate</w:t>
            </w:r>
          </w:p>
        </w:tc>
      </w:tr>
      <w:tr w:rsidR="003A2BD5" w:rsidRPr="003A2BD5">
        <w:trPr>
          <w:trHeight w:val="112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 xml:space="preserve">Typ 2 </w:t>
            </w:r>
            <w:proofErr w:type="spellStart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LDAR-Erhebung</w:t>
            </w:r>
            <w:proofErr w:type="spellEnd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(Auslegungsdruck &gt; 16 bar)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CC0D3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CC0D35">
              <w:rPr>
                <w:rFonts w:ascii="Calibri" w:hAnsi="Calibri"/>
                <w:sz w:val="22"/>
                <w:szCs w:val="22"/>
                <w:lang w:eastAsia="de-DE"/>
              </w:rPr>
              <w:t>Kompressorstation</w:t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</w:r>
            <w:r w:rsidR="003A2BD5"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Regel- und Messstation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8 Monate</w:t>
            </w:r>
          </w:p>
        </w:tc>
      </w:tr>
      <w:tr w:rsidR="003A2BD5" w:rsidRPr="003A2BD5">
        <w:trPr>
          <w:trHeight w:val="2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Ventilstation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18 Monate</w:t>
            </w:r>
          </w:p>
        </w:tc>
      </w:tr>
      <w:tr w:rsidR="003A2BD5" w:rsidRPr="003A2BD5">
        <w:trPr>
          <w:trHeight w:val="56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 xml:space="preserve">Typ 2 </w:t>
            </w:r>
            <w:proofErr w:type="spellStart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LDAR-Erhebung</w:t>
            </w:r>
            <w:proofErr w:type="spellEnd"/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br/>
              <w:t>(Auslegungsdruck &lt;= 16 bar)</w:t>
            </w:r>
          </w:p>
        </w:tc>
        <w:tc>
          <w:tcPr>
            <w:tcW w:w="3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Regel- und Messstation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9 Monate</w:t>
            </w:r>
          </w:p>
        </w:tc>
      </w:tr>
      <w:tr w:rsidR="003A2BD5" w:rsidRPr="003A2BD5">
        <w:trPr>
          <w:trHeight w:val="280"/>
        </w:trPr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 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Ventilstation</w:t>
            </w:r>
          </w:p>
        </w:tc>
        <w:tc>
          <w:tcPr>
            <w:tcW w:w="2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D5" w:rsidRPr="003A2BD5" w:rsidRDefault="003A2BD5" w:rsidP="003A2BD5">
            <w:pPr>
              <w:rPr>
                <w:rFonts w:ascii="Calibri" w:hAnsi="Calibri"/>
                <w:sz w:val="22"/>
                <w:szCs w:val="22"/>
                <w:lang w:eastAsia="de-DE"/>
              </w:rPr>
            </w:pPr>
            <w:r w:rsidRPr="003A2BD5">
              <w:rPr>
                <w:rFonts w:ascii="Calibri" w:hAnsi="Calibri"/>
                <w:sz w:val="22"/>
                <w:szCs w:val="22"/>
                <w:lang w:eastAsia="de-DE"/>
              </w:rPr>
              <w:t>alle 21 Monate</w:t>
            </w:r>
          </w:p>
        </w:tc>
      </w:tr>
    </w:tbl>
    <w:p w:rsidR="00AE64DA" w:rsidRPr="00AE64DA" w:rsidRDefault="00AE64DA" w:rsidP="00AE64DA">
      <w:pPr>
        <w:rPr>
          <w:rFonts w:ascii="Arial" w:hAnsi="Arial"/>
        </w:rPr>
      </w:pPr>
    </w:p>
    <w:p w:rsidR="00AE64DA" w:rsidRPr="00AE64DA" w:rsidRDefault="00A566AB" w:rsidP="00AE64DA">
      <w:pPr>
        <w:rPr>
          <w:rFonts w:ascii="Arial" w:hAnsi="Arial"/>
        </w:rPr>
      </w:pPr>
      <w:r w:rsidRPr="00A566AB">
        <w:rPr>
          <w:rFonts w:ascii="Arial" w:hAnsi="Arial"/>
        </w:rPr>
        <w:t xml:space="preserve">In den obigen Tabellen beziehen sich die </w:t>
      </w:r>
      <w:proofErr w:type="spellStart"/>
      <w:r w:rsidRPr="00A566AB">
        <w:rPr>
          <w:rFonts w:ascii="Arial" w:hAnsi="Arial"/>
        </w:rPr>
        <w:t>LDAR-Untersuchungen</w:t>
      </w:r>
      <w:proofErr w:type="spellEnd"/>
      <w:r w:rsidRPr="00A566AB">
        <w:rPr>
          <w:rFonts w:ascii="Arial" w:hAnsi="Arial"/>
        </w:rPr>
        <w:t xml:space="preserve"> des Typs 1 im Allgemeinen auf die grobe Lecksuche und -reparatur, d. h. auf die größeren Lecks, die den größten Einfluss au</w:t>
      </w:r>
      <w:r w:rsidR="001252B6">
        <w:rPr>
          <w:rFonts w:ascii="Arial" w:hAnsi="Arial"/>
        </w:rPr>
        <w:t xml:space="preserve">f die Umwelt haben und daher allgemein </w:t>
      </w:r>
      <w:r w:rsidRPr="00A566AB">
        <w:rPr>
          <w:rFonts w:ascii="Arial" w:hAnsi="Arial"/>
        </w:rPr>
        <w:t xml:space="preserve">häufiger inspiziert werden müssen. Im Gegensatz dazu beziehen sich </w:t>
      </w:r>
      <w:proofErr w:type="spellStart"/>
      <w:r w:rsidRPr="00A566AB">
        <w:rPr>
          <w:rFonts w:ascii="Arial" w:hAnsi="Arial"/>
        </w:rPr>
        <w:t>LDAR-Erhebungen</w:t>
      </w:r>
      <w:proofErr w:type="spellEnd"/>
      <w:r w:rsidRPr="00A566AB">
        <w:rPr>
          <w:rFonts w:ascii="Arial" w:hAnsi="Arial"/>
        </w:rPr>
        <w:t xml:space="preserve"> des Typs 2 auf das Aufspüren kleinerer, fein</w:t>
      </w:r>
      <w:r w:rsidR="001252B6">
        <w:rPr>
          <w:rFonts w:ascii="Arial" w:hAnsi="Arial"/>
        </w:rPr>
        <w:t>porig</w:t>
      </w:r>
      <w:r w:rsidR="00763F33">
        <w:rPr>
          <w:rFonts w:ascii="Arial" w:hAnsi="Arial"/>
        </w:rPr>
        <w:t>er Lecks, so</w:t>
      </w:r>
      <w:r w:rsidRPr="00A566AB">
        <w:rPr>
          <w:rFonts w:ascii="Arial" w:hAnsi="Arial"/>
        </w:rPr>
        <w:t xml:space="preserve">dass diese Inspektionen </w:t>
      </w:r>
      <w:r w:rsidR="001252B6">
        <w:rPr>
          <w:rFonts w:ascii="Arial" w:hAnsi="Arial"/>
        </w:rPr>
        <w:t>normalerweise</w:t>
      </w:r>
      <w:r w:rsidRPr="00A566AB">
        <w:rPr>
          <w:rFonts w:ascii="Arial" w:hAnsi="Arial"/>
        </w:rPr>
        <w:t xml:space="preserve"> häufiger durchgeführt werden</w:t>
      </w:r>
      <w:r w:rsidR="00AE64DA" w:rsidRPr="00AE64DA">
        <w:rPr>
          <w:rFonts w:ascii="Arial" w:hAnsi="Arial"/>
        </w:rPr>
        <w:t>.</w:t>
      </w:r>
    </w:p>
    <w:p w:rsidR="00AE64DA" w:rsidRPr="00AE64DA" w:rsidRDefault="00AE64DA" w:rsidP="00AE64DA">
      <w:pPr>
        <w:rPr>
          <w:rFonts w:ascii="Arial" w:hAnsi="Arial"/>
        </w:rPr>
      </w:pPr>
    </w:p>
    <w:p w:rsidR="00070C80" w:rsidRDefault="00A566AB" w:rsidP="00AE64DA">
      <w:pPr>
        <w:rPr>
          <w:rFonts w:ascii="Arial" w:hAnsi="Arial"/>
          <w:b/>
        </w:rPr>
      </w:pPr>
      <w:r w:rsidRPr="00A566AB">
        <w:rPr>
          <w:rFonts w:ascii="Arial" w:hAnsi="Arial"/>
          <w:b/>
        </w:rPr>
        <w:t xml:space="preserve">QOGI </w:t>
      </w:r>
      <w:r>
        <w:rPr>
          <w:rFonts w:ascii="Arial" w:hAnsi="Arial"/>
          <w:b/>
        </w:rPr>
        <w:t>–</w:t>
      </w:r>
      <w:r w:rsidRPr="00A566AB">
        <w:rPr>
          <w:rFonts w:ascii="Arial" w:hAnsi="Arial"/>
          <w:b/>
        </w:rPr>
        <w:t xml:space="preserve"> die effektivste Technologie zur Durchführung von </w:t>
      </w:r>
      <w:proofErr w:type="spellStart"/>
      <w:r w:rsidRPr="00A566AB">
        <w:rPr>
          <w:rFonts w:ascii="Arial" w:hAnsi="Arial"/>
          <w:b/>
        </w:rPr>
        <w:t>LDAR-Untersuchungen</w:t>
      </w:r>
      <w:proofErr w:type="spellEnd"/>
      <w:r w:rsidRPr="00A566AB">
        <w:rPr>
          <w:rFonts w:ascii="Arial" w:hAnsi="Arial"/>
          <w:b/>
        </w:rPr>
        <w:t xml:space="preserve"> des Typs 1 </w:t>
      </w:r>
    </w:p>
    <w:p w:rsidR="00A566AB" w:rsidRPr="00A566AB" w:rsidRDefault="00A566AB" w:rsidP="00A566AB">
      <w:pPr>
        <w:rPr>
          <w:rFonts w:ascii="Arial" w:hAnsi="Arial"/>
        </w:rPr>
      </w:pPr>
      <w:r w:rsidRPr="00A566AB">
        <w:rPr>
          <w:rFonts w:ascii="Arial" w:hAnsi="Arial"/>
        </w:rPr>
        <w:t xml:space="preserve">Speziell für </w:t>
      </w:r>
      <w:proofErr w:type="spellStart"/>
      <w:r w:rsidRPr="00A566AB">
        <w:rPr>
          <w:rFonts w:ascii="Arial" w:hAnsi="Arial"/>
        </w:rPr>
        <w:t>LDAR-Untersuchungen</w:t>
      </w:r>
      <w:proofErr w:type="spellEnd"/>
      <w:r w:rsidRPr="00A566AB">
        <w:rPr>
          <w:rFonts w:ascii="Arial" w:hAnsi="Arial"/>
        </w:rPr>
        <w:t xml:space="preserve"> des Typs 1 bietet QOGI (Quantitative </w:t>
      </w:r>
      <w:proofErr w:type="spellStart"/>
      <w:r w:rsidRPr="00A566AB">
        <w:rPr>
          <w:rFonts w:ascii="Arial" w:hAnsi="Arial"/>
        </w:rPr>
        <w:t>Optical</w:t>
      </w:r>
      <w:proofErr w:type="spellEnd"/>
      <w:r w:rsidRPr="00A566AB">
        <w:rPr>
          <w:rFonts w:ascii="Arial" w:hAnsi="Arial"/>
        </w:rPr>
        <w:t xml:space="preserve"> Gas </w:t>
      </w:r>
      <w:proofErr w:type="spellStart"/>
      <w:r w:rsidRPr="00A566AB">
        <w:rPr>
          <w:rFonts w:ascii="Arial" w:hAnsi="Arial"/>
        </w:rPr>
        <w:t>Imaging</w:t>
      </w:r>
      <w:proofErr w:type="spellEnd"/>
      <w:r w:rsidR="001252B6">
        <w:rPr>
          <w:rFonts w:ascii="Arial" w:hAnsi="Arial"/>
        </w:rPr>
        <w:t>, q</w:t>
      </w:r>
      <w:r w:rsidR="001252B6" w:rsidRPr="001252B6">
        <w:rPr>
          <w:rFonts w:ascii="Arial" w:hAnsi="Arial"/>
        </w:rPr>
        <w:t xml:space="preserve">uantitative optische </w:t>
      </w:r>
      <w:proofErr w:type="spellStart"/>
      <w:r w:rsidR="001252B6" w:rsidRPr="001252B6">
        <w:rPr>
          <w:rFonts w:ascii="Arial" w:hAnsi="Arial"/>
        </w:rPr>
        <w:t>Gasbildgebung</w:t>
      </w:r>
      <w:proofErr w:type="spellEnd"/>
      <w:r w:rsidRPr="00A566AB">
        <w:rPr>
          <w:rFonts w:ascii="Arial" w:hAnsi="Arial"/>
        </w:rPr>
        <w:t>) eine äußerst wirksame und effiziente Methode zur schnellen Ortung großer Lecks, die gemäß Artikel 14 der Verordnungsliteratur als "17 Gramm/Stunde bei Standardtemperatur und -druck" definiert sind</w:t>
      </w:r>
      <w:r w:rsidR="003131D7">
        <w:rPr>
          <w:rStyle w:val="Funotenzeichen"/>
          <w:rFonts w:ascii="Arial" w:hAnsi="Arial"/>
        </w:rPr>
        <w:footnoteReference w:id="5"/>
      </w:r>
      <w:r w:rsidRPr="00A566AB">
        <w:rPr>
          <w:rFonts w:ascii="Arial" w:hAnsi="Arial"/>
        </w:rPr>
        <w:t xml:space="preserve">. Im Gegensatz dazu sind </w:t>
      </w:r>
      <w:proofErr w:type="spellStart"/>
      <w:r w:rsidRPr="00A566AB">
        <w:rPr>
          <w:rFonts w:ascii="Arial" w:hAnsi="Arial"/>
        </w:rPr>
        <w:t>LDAR-Lecks</w:t>
      </w:r>
      <w:proofErr w:type="spellEnd"/>
      <w:r w:rsidRPr="00A566AB">
        <w:rPr>
          <w:rFonts w:ascii="Arial" w:hAnsi="Arial"/>
        </w:rPr>
        <w:t xml:space="preserve"> des Typs 2 als 5 Gramm/Stunde bei Standardtemperatur und -druck definiert.</w:t>
      </w:r>
    </w:p>
    <w:p w:rsidR="00A566AB" w:rsidRPr="00A566AB" w:rsidRDefault="00A566AB" w:rsidP="00A566AB">
      <w:pPr>
        <w:rPr>
          <w:rFonts w:ascii="Arial" w:hAnsi="Arial"/>
        </w:rPr>
      </w:pPr>
    </w:p>
    <w:p w:rsidR="00AE64DA" w:rsidRPr="00AE64DA" w:rsidRDefault="00A566AB" w:rsidP="00A566AB">
      <w:pPr>
        <w:rPr>
          <w:rFonts w:ascii="Arial" w:hAnsi="Arial"/>
        </w:rPr>
      </w:pPr>
      <w:r w:rsidRPr="00A566AB">
        <w:rPr>
          <w:rFonts w:ascii="Arial" w:hAnsi="Arial"/>
        </w:rPr>
        <w:t xml:space="preserve">Um eine effektive </w:t>
      </w:r>
      <w:proofErr w:type="spellStart"/>
      <w:r w:rsidRPr="00A566AB">
        <w:rPr>
          <w:rFonts w:ascii="Arial" w:hAnsi="Arial"/>
        </w:rPr>
        <w:t>LDAR-Untersuchung</w:t>
      </w:r>
      <w:proofErr w:type="spellEnd"/>
      <w:r w:rsidRPr="00A566AB">
        <w:rPr>
          <w:rFonts w:ascii="Arial" w:hAnsi="Arial"/>
        </w:rPr>
        <w:t xml:space="preserve"> des Typs 1 zu erreichen, bietet QOGI zahlreiche Vorteile. Erstens müssen die Inspektoren nicht nur Methanlecks aufspüren, sondern auch die Größe solcher Lecks erkennen und schnell handeln, um Lecks mit 17 Gramm</w:t>
      </w:r>
      <w:r w:rsidR="001252B6">
        <w:rPr>
          <w:rFonts w:ascii="Arial" w:hAnsi="Arial"/>
        </w:rPr>
        <w:t xml:space="preserve">/Stunde oder mehr </w:t>
      </w:r>
      <w:r w:rsidR="001252B6" w:rsidRPr="00A566AB">
        <w:rPr>
          <w:rFonts w:ascii="Arial" w:hAnsi="Arial"/>
        </w:rPr>
        <w:t>wie oben erwähnt</w:t>
      </w:r>
      <w:r w:rsidR="001252B6">
        <w:rPr>
          <w:rFonts w:ascii="Arial" w:hAnsi="Arial"/>
        </w:rPr>
        <w:t xml:space="preserve"> zu beseitigen</w:t>
      </w:r>
      <w:r w:rsidR="00AE64DA" w:rsidRPr="00AE64DA">
        <w:rPr>
          <w:rFonts w:ascii="Arial" w:hAnsi="Arial"/>
        </w:rPr>
        <w:t>.</w:t>
      </w:r>
    </w:p>
    <w:p w:rsidR="00AE64DA" w:rsidRPr="00AE64DA" w:rsidRDefault="00AE64DA" w:rsidP="00AE64DA">
      <w:pPr>
        <w:rPr>
          <w:rFonts w:ascii="Arial" w:hAnsi="Arial"/>
        </w:rPr>
      </w:pPr>
    </w:p>
    <w:p w:rsidR="00AE64DA" w:rsidRPr="00AE64DA" w:rsidRDefault="00A566AB" w:rsidP="00AE64DA">
      <w:pPr>
        <w:rPr>
          <w:rFonts w:ascii="Arial" w:hAnsi="Arial"/>
        </w:rPr>
      </w:pPr>
      <w:r w:rsidRPr="00A566AB">
        <w:rPr>
          <w:rFonts w:ascii="Arial" w:hAnsi="Arial"/>
        </w:rPr>
        <w:t>Darüber hinaus heißt es in der Vorschrift, dass die Inspektoren die Emissionen an "jeder potenziellen Emissionsquelle" und s</w:t>
      </w:r>
      <w:r w:rsidR="001252B6">
        <w:rPr>
          <w:rFonts w:ascii="Arial" w:hAnsi="Arial"/>
        </w:rPr>
        <w:t>o nah wie möglich messen müssen</w:t>
      </w:r>
      <w:r w:rsidRPr="00A566AB">
        <w:rPr>
          <w:rFonts w:ascii="Arial" w:hAnsi="Arial"/>
        </w:rPr>
        <w:t xml:space="preserve">. Das bedeutet, dass sich die Inspektoren nicht allein auf Inspektionsgeräte aus der Luft verlassen können. Stattdessen benötigen sie </w:t>
      </w:r>
      <w:proofErr w:type="spellStart"/>
      <w:r w:rsidRPr="00A566AB">
        <w:rPr>
          <w:rFonts w:ascii="Arial" w:hAnsi="Arial"/>
        </w:rPr>
        <w:t>QOGI-Geräte</w:t>
      </w:r>
      <w:proofErr w:type="spellEnd"/>
      <w:r w:rsidRPr="00A566AB">
        <w:rPr>
          <w:rFonts w:ascii="Arial" w:hAnsi="Arial"/>
        </w:rPr>
        <w:t xml:space="preserve">, um nahe genug </w:t>
      </w:r>
      <w:r w:rsidR="0092232B">
        <w:rPr>
          <w:rFonts w:ascii="Arial" w:hAnsi="Arial"/>
        </w:rPr>
        <w:t xml:space="preserve">an </w:t>
      </w:r>
      <w:r w:rsidR="0092232B" w:rsidRPr="00A566AB">
        <w:rPr>
          <w:rFonts w:ascii="Arial" w:hAnsi="Arial"/>
        </w:rPr>
        <w:t>die zu messen</w:t>
      </w:r>
      <w:r w:rsidR="0092232B">
        <w:rPr>
          <w:rFonts w:ascii="Arial" w:hAnsi="Arial"/>
        </w:rPr>
        <w:t xml:space="preserve">den </w:t>
      </w:r>
      <w:r w:rsidR="0092232B" w:rsidRPr="00A566AB">
        <w:rPr>
          <w:rFonts w:ascii="Arial" w:hAnsi="Arial"/>
        </w:rPr>
        <w:t xml:space="preserve">Leckstellen </w:t>
      </w:r>
      <w:r w:rsidR="0092232B">
        <w:rPr>
          <w:rFonts w:ascii="Arial" w:hAnsi="Arial"/>
        </w:rPr>
        <w:t>heranzukommen</w:t>
      </w:r>
      <w:r w:rsidRPr="00A566AB">
        <w:rPr>
          <w:rFonts w:ascii="Arial" w:hAnsi="Arial"/>
        </w:rPr>
        <w:t>, aber dennoch in einem sicheren Abstand zu bleiben. Erschwerend kommt hinzu, dass die Vorschrift vorschreibt, dass Reparaturen innerhalb von 5 Tagen nach der Entdeckung durchgeführt und dann innerhalb von 30 Tagen abgeschlossen werden müssen</w:t>
      </w:r>
      <w:r w:rsidR="00AE64DA" w:rsidRPr="00AE64DA">
        <w:rPr>
          <w:rFonts w:ascii="Arial" w:hAnsi="Arial"/>
        </w:rPr>
        <w:t>.</w:t>
      </w:r>
    </w:p>
    <w:p w:rsidR="00AE64DA" w:rsidRPr="00AE64DA" w:rsidRDefault="00AE64DA" w:rsidP="00AE64DA">
      <w:pPr>
        <w:rPr>
          <w:rFonts w:ascii="Arial" w:hAnsi="Arial"/>
        </w:rPr>
      </w:pPr>
    </w:p>
    <w:p w:rsidR="00A566AB" w:rsidRPr="00A566AB" w:rsidRDefault="00A566AB" w:rsidP="00A566AB">
      <w:pPr>
        <w:rPr>
          <w:rFonts w:ascii="Arial" w:hAnsi="Arial"/>
        </w:rPr>
      </w:pPr>
      <w:r w:rsidRPr="00A566AB">
        <w:rPr>
          <w:rFonts w:ascii="Arial" w:hAnsi="Arial"/>
        </w:rPr>
        <w:t xml:space="preserve">Laut Steve </w:t>
      </w:r>
      <w:proofErr w:type="spellStart"/>
      <w:r w:rsidRPr="00A566AB">
        <w:rPr>
          <w:rFonts w:ascii="Arial" w:hAnsi="Arial"/>
        </w:rPr>
        <w:t>Beynon</w:t>
      </w:r>
      <w:proofErr w:type="spellEnd"/>
      <w:r w:rsidRPr="00A566AB">
        <w:rPr>
          <w:rFonts w:ascii="Arial" w:hAnsi="Arial"/>
        </w:rPr>
        <w:t xml:space="preserve">, </w:t>
      </w:r>
      <w:proofErr w:type="spellStart"/>
      <w:r w:rsidRPr="00AE64DA">
        <w:rPr>
          <w:rFonts w:ascii="Arial" w:hAnsi="Arial"/>
        </w:rPr>
        <w:t>Director</w:t>
      </w:r>
      <w:proofErr w:type="spellEnd"/>
      <w:r w:rsidRPr="00AE64DA">
        <w:rPr>
          <w:rFonts w:ascii="Arial" w:hAnsi="Arial"/>
        </w:rPr>
        <w:t xml:space="preserve"> of Sales</w:t>
      </w:r>
      <w:r w:rsidRPr="00A566AB">
        <w:rPr>
          <w:rFonts w:ascii="Arial" w:hAnsi="Arial"/>
        </w:rPr>
        <w:t xml:space="preserve"> für den Bereich </w:t>
      </w:r>
      <w:proofErr w:type="spellStart"/>
      <w:r w:rsidRPr="00A566AB">
        <w:rPr>
          <w:rFonts w:ascii="Arial" w:hAnsi="Arial"/>
        </w:rPr>
        <w:t>Optical</w:t>
      </w:r>
      <w:proofErr w:type="spellEnd"/>
      <w:r w:rsidRPr="00A566AB">
        <w:rPr>
          <w:rFonts w:ascii="Arial" w:hAnsi="Arial"/>
        </w:rPr>
        <w:t xml:space="preserve"> Gas </w:t>
      </w:r>
      <w:proofErr w:type="spellStart"/>
      <w:r w:rsidRPr="00A566AB">
        <w:rPr>
          <w:rFonts w:ascii="Arial" w:hAnsi="Arial"/>
        </w:rPr>
        <w:t>Imaging</w:t>
      </w:r>
      <w:proofErr w:type="spellEnd"/>
      <w:r w:rsidRPr="00A566AB">
        <w:rPr>
          <w:rFonts w:ascii="Arial" w:hAnsi="Arial"/>
        </w:rPr>
        <w:t xml:space="preserve"> bei FLIR, stand der Einsatz der neuesten </w:t>
      </w:r>
      <w:proofErr w:type="spellStart"/>
      <w:r w:rsidRPr="00A566AB">
        <w:rPr>
          <w:rFonts w:ascii="Arial" w:hAnsi="Arial"/>
        </w:rPr>
        <w:t>OGI-Technologie</w:t>
      </w:r>
      <w:proofErr w:type="spellEnd"/>
      <w:r w:rsidRPr="00A566AB">
        <w:rPr>
          <w:rFonts w:ascii="Arial" w:hAnsi="Arial"/>
        </w:rPr>
        <w:t xml:space="preserve"> schon immer im Vordergrund, um die Unternehmen in die Lage zu versetzen, die gesetzlichen Vorgaben zu erfüllen.</w:t>
      </w:r>
    </w:p>
    <w:p w:rsidR="00A566AB" w:rsidRPr="00A566AB" w:rsidRDefault="00A566AB" w:rsidP="00A566AB">
      <w:pPr>
        <w:rPr>
          <w:rFonts w:ascii="Arial" w:hAnsi="Arial"/>
        </w:rPr>
      </w:pPr>
    </w:p>
    <w:p w:rsidR="003B49CC" w:rsidRDefault="00A566AB" w:rsidP="00A566AB">
      <w:pPr>
        <w:rPr>
          <w:rFonts w:ascii="Arial" w:hAnsi="Arial"/>
        </w:rPr>
      </w:pPr>
      <w:r w:rsidRPr="00A566AB">
        <w:rPr>
          <w:rFonts w:ascii="Arial" w:hAnsi="Arial"/>
        </w:rPr>
        <w:t>"Wir</w:t>
      </w:r>
      <w:r w:rsidR="0092232B">
        <w:rPr>
          <w:rFonts w:ascii="Arial" w:hAnsi="Arial"/>
        </w:rPr>
        <w:t xml:space="preserve"> arbeiten seit Jahren mit den Behörden und Entscheidungsträgern</w:t>
      </w:r>
      <w:r w:rsidRPr="00A566AB">
        <w:rPr>
          <w:rFonts w:ascii="Arial" w:hAnsi="Arial"/>
        </w:rPr>
        <w:t xml:space="preserve"> der EU zusammen, um die Industrie in die Lage zu versetzen, die Technologie zur Verringerung der Methanemissionen zu nutzen, und sind der Meinung, dass die optische </w:t>
      </w:r>
      <w:proofErr w:type="spellStart"/>
      <w:r w:rsidRPr="00A566AB">
        <w:rPr>
          <w:rFonts w:ascii="Arial" w:hAnsi="Arial"/>
        </w:rPr>
        <w:t>Gasbildgebung</w:t>
      </w:r>
      <w:proofErr w:type="spellEnd"/>
      <w:r w:rsidRPr="00A566AB">
        <w:rPr>
          <w:rFonts w:ascii="Arial" w:hAnsi="Arial"/>
        </w:rPr>
        <w:t xml:space="preserve"> eine grundlegende Rolle für die Zukunft der Methanverringerung in der EU spielt", sagte </w:t>
      </w:r>
      <w:proofErr w:type="spellStart"/>
      <w:r w:rsidRPr="00A566AB">
        <w:rPr>
          <w:rFonts w:ascii="Arial" w:hAnsi="Arial"/>
        </w:rPr>
        <w:t>Beynon</w:t>
      </w:r>
      <w:proofErr w:type="spellEnd"/>
      <w:r w:rsidRPr="00A566AB">
        <w:rPr>
          <w:rFonts w:ascii="Arial" w:hAnsi="Arial"/>
        </w:rPr>
        <w:t xml:space="preserve">. </w:t>
      </w:r>
    </w:p>
    <w:p w:rsidR="003B49CC" w:rsidRDefault="003B49CC" w:rsidP="00A566AB">
      <w:pPr>
        <w:rPr>
          <w:rFonts w:ascii="Arial" w:hAnsi="Arial"/>
        </w:rPr>
      </w:pPr>
    </w:p>
    <w:p w:rsidR="00A566AB" w:rsidRDefault="003B49CC" w:rsidP="00A566AB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5756910" cy="3837940"/>
            <wp:effectExtent l="25400" t="0" r="8890" b="0"/>
            <wp:docPr id="5" name="Bild 4" descr="07 Teledyne FLIR die-neue-G-Serie-im-Einsatz-DE5A54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 Teledyne FLIR die-neue-G-Serie-im-Einsatz-DE5A5410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DA" w:rsidRPr="00AE64DA" w:rsidRDefault="00AE64DA" w:rsidP="00AE64DA">
      <w:pPr>
        <w:rPr>
          <w:rFonts w:ascii="Arial" w:hAnsi="Arial"/>
        </w:rPr>
      </w:pPr>
    </w:p>
    <w:p w:rsidR="000D0EDD" w:rsidRDefault="000D0EDD" w:rsidP="00AE64DA">
      <w:pPr>
        <w:rPr>
          <w:rFonts w:ascii="Arial" w:hAnsi="Arial"/>
        </w:rPr>
      </w:pPr>
      <w:r w:rsidRPr="000D0EDD">
        <w:rPr>
          <w:rFonts w:ascii="Arial" w:hAnsi="Arial"/>
        </w:rPr>
        <w:t>Tool</w:t>
      </w:r>
      <w:r>
        <w:rPr>
          <w:rFonts w:ascii="Arial" w:hAnsi="Arial"/>
        </w:rPr>
        <w:t xml:space="preserve">s wie das </w:t>
      </w:r>
      <w:proofErr w:type="spellStart"/>
      <w:r>
        <w:rPr>
          <w:rFonts w:ascii="Arial" w:hAnsi="Arial"/>
        </w:rPr>
        <w:t>OGI-ergänzende</w:t>
      </w:r>
      <w:proofErr w:type="spellEnd"/>
      <w:r>
        <w:rPr>
          <w:rFonts w:ascii="Arial" w:hAnsi="Arial"/>
        </w:rPr>
        <w:t xml:space="preserve"> FLIR QL320 </w:t>
      </w:r>
      <w:r w:rsidRPr="000D0EDD">
        <w:rPr>
          <w:rFonts w:ascii="Arial" w:hAnsi="Arial"/>
        </w:rPr>
        <w:t>(</w:t>
      </w:r>
      <w:hyperlink r:id="rId7" w:history="1">
        <w:r w:rsidRPr="00544984">
          <w:rPr>
            <w:rStyle w:val="Link"/>
            <w:rFonts w:ascii="Arial" w:hAnsi="Arial"/>
          </w:rPr>
          <w:t>https://www.flir.de/products/flir-ql320/</w:t>
        </w:r>
      </w:hyperlink>
      <w:r>
        <w:rPr>
          <w:rFonts w:ascii="Arial" w:hAnsi="Arial"/>
        </w:rPr>
        <w:t>)</w:t>
      </w:r>
      <w:r w:rsidRPr="000D0EDD">
        <w:rPr>
          <w:rFonts w:ascii="Arial" w:hAnsi="Arial"/>
        </w:rPr>
        <w:t xml:space="preserve"> sowie die integrierte Quantifizierung der neuesten Kameras der FLIR G-Serie (</w:t>
      </w:r>
      <w:hyperlink r:id="rId8" w:history="1">
        <w:r w:rsidRPr="00544984">
          <w:rPr>
            <w:rStyle w:val="Link"/>
            <w:rFonts w:ascii="Arial" w:hAnsi="Arial"/>
          </w:rPr>
          <w:t>https://www.flir.de/products/flir-g-series/</w:t>
        </w:r>
      </w:hyperlink>
      <w:r>
        <w:rPr>
          <w:rFonts w:ascii="Arial" w:hAnsi="Arial"/>
        </w:rPr>
        <w:t>)</w:t>
      </w:r>
      <w:r w:rsidRPr="000D0EDD">
        <w:rPr>
          <w:rFonts w:ascii="Arial" w:hAnsi="Arial"/>
        </w:rPr>
        <w:t xml:space="preserve"> bieten effektive Methoden zur Erfüllung der neuesten EU-Vorschriften zur Erkennung u</w:t>
      </w:r>
      <w:r>
        <w:rPr>
          <w:rFonts w:ascii="Arial" w:hAnsi="Arial"/>
        </w:rPr>
        <w:t xml:space="preserve">nd Eindämmung von Methanlecks. </w:t>
      </w:r>
      <w:r w:rsidRPr="000D0EDD">
        <w:rPr>
          <w:rFonts w:ascii="Arial" w:hAnsi="Arial"/>
        </w:rPr>
        <w:t xml:space="preserve">Diese hochmodernen Lösungen ermöglichen den Betreibern die Quantifizierung von Emissionen aus sicherer Entfernung durch fortschrittliche Analyseverfahren, die </w:t>
      </w:r>
      <w:proofErr w:type="spellStart"/>
      <w:r w:rsidRPr="000D0EDD">
        <w:rPr>
          <w:rFonts w:ascii="Arial" w:hAnsi="Arial"/>
        </w:rPr>
        <w:t>die</w:t>
      </w:r>
      <w:proofErr w:type="spellEnd"/>
      <w:r w:rsidRPr="000D0EDD">
        <w:rPr>
          <w:rFonts w:ascii="Arial" w:hAnsi="Arial"/>
        </w:rPr>
        <w:t xml:space="preserve"> </w:t>
      </w:r>
      <w:proofErr w:type="spellStart"/>
      <w:r w:rsidRPr="000D0EDD">
        <w:rPr>
          <w:rFonts w:ascii="Arial" w:hAnsi="Arial"/>
        </w:rPr>
        <w:t>OGI-Kameratechnologie</w:t>
      </w:r>
      <w:proofErr w:type="spellEnd"/>
      <w:r w:rsidRPr="000D0EDD">
        <w:rPr>
          <w:rFonts w:ascii="Arial" w:hAnsi="Arial"/>
        </w:rPr>
        <w:t xml:space="preserve"> von FLIR nutzen.</w:t>
      </w:r>
    </w:p>
    <w:p w:rsidR="000D0EDD" w:rsidRDefault="000D0EDD" w:rsidP="00AE64DA">
      <w:pPr>
        <w:rPr>
          <w:rFonts w:ascii="Arial" w:hAnsi="Arial"/>
        </w:rPr>
      </w:pPr>
    </w:p>
    <w:p w:rsidR="000D0EDD" w:rsidRDefault="000D0EDD" w:rsidP="00AE64DA">
      <w:pPr>
        <w:rPr>
          <w:rFonts w:ascii="Arial" w:hAnsi="Arial"/>
        </w:rPr>
      </w:pPr>
      <w:r w:rsidRPr="000D0EDD">
        <w:rPr>
          <w:rFonts w:ascii="Arial" w:hAnsi="Arial"/>
        </w:rPr>
        <w:t xml:space="preserve">Bilder mit der FLIR Gx320-Funktion </w:t>
      </w:r>
      <w:r>
        <w:rPr>
          <w:rFonts w:ascii="Arial" w:hAnsi="Arial"/>
        </w:rPr>
        <w:t xml:space="preserve">zur </w:t>
      </w:r>
      <w:r w:rsidRPr="000D0EDD">
        <w:rPr>
          <w:rFonts w:ascii="Arial" w:hAnsi="Arial"/>
        </w:rPr>
        <w:t>Quantifizierung in der Kamera (L: Methanemission gemessen in Gramm/Stunde; R: Große Emission gemessen in Konzentration - PPM-M):</w:t>
      </w:r>
    </w:p>
    <w:p w:rsidR="00070C80" w:rsidRDefault="00070C80" w:rsidP="00AE64DA">
      <w:pPr>
        <w:rPr>
          <w:rFonts w:ascii="Arial" w:hAnsi="Arial"/>
        </w:rPr>
      </w:pPr>
    </w:p>
    <w:p w:rsidR="00070C80" w:rsidRDefault="00070C80" w:rsidP="00AE64DA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2244436" cy="1683327"/>
            <wp:effectExtent l="25400" t="0" r="0" b="0"/>
            <wp:docPr id="10" name="Bild 9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44436" cy="1683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4DA" w:rsidRPr="00AE64DA" w:rsidRDefault="00070C80" w:rsidP="00AE64DA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4533900" cy="3400425"/>
            <wp:effectExtent l="25400" t="0" r="0" b="0"/>
            <wp:docPr id="11" name="Bild 10" descr="picture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3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33900" cy="340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0C80" w:rsidRDefault="00070C80" w:rsidP="00AE64DA">
      <w:pPr>
        <w:rPr>
          <w:rFonts w:ascii="Arial" w:hAnsi="Arial"/>
        </w:rPr>
      </w:pPr>
    </w:p>
    <w:p w:rsidR="003B49CC" w:rsidRDefault="00BE10CA" w:rsidP="00BE10CA">
      <w:pPr>
        <w:rPr>
          <w:rFonts w:ascii="Arial" w:hAnsi="Arial"/>
        </w:rPr>
      </w:pPr>
      <w:r w:rsidRPr="00BE10CA">
        <w:rPr>
          <w:rFonts w:ascii="Arial" w:hAnsi="Arial"/>
        </w:rPr>
        <w:t>Der Einsatz solcher Instrumente erfordert je</w:t>
      </w:r>
      <w:r>
        <w:rPr>
          <w:rFonts w:ascii="Arial" w:hAnsi="Arial"/>
        </w:rPr>
        <w:t>doch ein gewisses technische</w:t>
      </w:r>
      <w:r w:rsidRPr="00BE10CA">
        <w:rPr>
          <w:rFonts w:ascii="Arial" w:hAnsi="Arial"/>
        </w:rPr>
        <w:t>s Wissen, ein Verständnis für die Anwen</w:t>
      </w:r>
      <w:r>
        <w:rPr>
          <w:rFonts w:ascii="Arial" w:hAnsi="Arial"/>
        </w:rPr>
        <w:t xml:space="preserve">dung und Schulungen über </w:t>
      </w:r>
      <w:r w:rsidRPr="00BE10CA">
        <w:rPr>
          <w:rFonts w:ascii="Arial" w:hAnsi="Arial"/>
        </w:rPr>
        <w:t>den Einsatz der Kameras</w:t>
      </w:r>
      <w:r>
        <w:rPr>
          <w:rFonts w:ascii="Arial" w:hAnsi="Arial"/>
        </w:rPr>
        <w:t xml:space="preserve"> sowie die</w:t>
      </w:r>
      <w:r w:rsidRPr="00BE10CA">
        <w:rPr>
          <w:rFonts w:ascii="Arial" w:hAnsi="Arial"/>
        </w:rPr>
        <w:t xml:space="preserve"> </w:t>
      </w:r>
      <w:proofErr w:type="spellStart"/>
      <w:r w:rsidRPr="00BE10CA">
        <w:rPr>
          <w:rFonts w:ascii="Arial" w:hAnsi="Arial"/>
        </w:rPr>
        <w:t>OGI</w:t>
      </w:r>
      <w:r>
        <w:rPr>
          <w:rFonts w:ascii="Arial" w:hAnsi="Arial"/>
        </w:rPr>
        <w:t>-Technik</w:t>
      </w:r>
      <w:proofErr w:type="spellEnd"/>
      <w:r w:rsidRPr="00BE10CA">
        <w:rPr>
          <w:rFonts w:ascii="Arial" w:hAnsi="Arial"/>
        </w:rPr>
        <w:t xml:space="preserve">. Nach dieser Verordnung müssen </w:t>
      </w:r>
      <w:proofErr w:type="spellStart"/>
      <w:r w:rsidRPr="00BE10CA">
        <w:rPr>
          <w:rFonts w:ascii="Arial" w:hAnsi="Arial"/>
        </w:rPr>
        <w:t>LDAR-Bediener</w:t>
      </w:r>
      <w:proofErr w:type="spellEnd"/>
      <w:r w:rsidRPr="00BE10CA">
        <w:rPr>
          <w:rFonts w:ascii="Arial" w:hAnsi="Arial"/>
        </w:rPr>
        <w:t xml:space="preserve"> geschult werden</w:t>
      </w:r>
      <w:r>
        <w:rPr>
          <w:rFonts w:ascii="Arial" w:hAnsi="Arial"/>
        </w:rPr>
        <w:t xml:space="preserve">. </w:t>
      </w:r>
      <w:r w:rsidRPr="00BE10CA">
        <w:rPr>
          <w:rFonts w:ascii="Arial" w:hAnsi="Arial"/>
        </w:rPr>
        <w:t xml:space="preserve">Organisationen, die mehr darüber erfahren möchten, wie sie die </w:t>
      </w:r>
      <w:proofErr w:type="spellStart"/>
      <w:r w:rsidRPr="00BE10CA">
        <w:rPr>
          <w:rFonts w:ascii="Arial" w:hAnsi="Arial"/>
        </w:rPr>
        <w:t>QOGI-Tools</w:t>
      </w:r>
      <w:proofErr w:type="spellEnd"/>
      <w:r w:rsidRPr="00BE10CA">
        <w:rPr>
          <w:rFonts w:ascii="Arial" w:hAnsi="Arial"/>
        </w:rPr>
        <w:t xml:space="preserve"> von FLIR zur Erfüllung der EU-Vorschriften einsetzen können, können das </w:t>
      </w:r>
      <w:proofErr w:type="spellStart"/>
      <w:r w:rsidRPr="00BE10CA">
        <w:rPr>
          <w:rFonts w:ascii="Arial" w:hAnsi="Arial"/>
        </w:rPr>
        <w:t>Infrared</w:t>
      </w:r>
      <w:proofErr w:type="spellEnd"/>
      <w:r w:rsidRPr="00BE10CA">
        <w:rPr>
          <w:rFonts w:ascii="Arial" w:hAnsi="Arial"/>
        </w:rPr>
        <w:t xml:space="preserve"> Training Center (ITC) besuchen: </w:t>
      </w:r>
      <w:hyperlink r:id="rId11" w:history="1">
        <w:r w:rsidRPr="00544984">
          <w:rPr>
            <w:rStyle w:val="Link"/>
            <w:rFonts w:ascii="Arial" w:hAnsi="Arial"/>
          </w:rPr>
          <w:t>https://www.infraredtraining.com/de-de/home/%C3%9Cberuns/about/</w:t>
        </w:r>
      </w:hyperlink>
      <w:r>
        <w:rPr>
          <w:rFonts w:ascii="Arial" w:hAnsi="Arial"/>
        </w:rPr>
        <w:t xml:space="preserve"> </w:t>
      </w:r>
    </w:p>
    <w:p w:rsidR="003B49CC" w:rsidRDefault="003B49CC" w:rsidP="00BE10CA">
      <w:pPr>
        <w:rPr>
          <w:rFonts w:ascii="Arial" w:hAnsi="Arial"/>
        </w:rPr>
      </w:pPr>
    </w:p>
    <w:p w:rsidR="00BE10CA" w:rsidRPr="00BE10CA" w:rsidRDefault="003B49CC" w:rsidP="00BE10CA">
      <w:pPr>
        <w:rPr>
          <w:rFonts w:ascii="Arial" w:hAnsi="Arial"/>
        </w:rPr>
      </w:pPr>
      <w:r>
        <w:rPr>
          <w:rFonts w:ascii="Arial" w:hAnsi="Arial"/>
          <w:noProof/>
          <w:lang w:eastAsia="de-DE"/>
        </w:rPr>
        <w:drawing>
          <wp:inline distT="0" distB="0" distL="0" distR="0">
            <wp:extent cx="4227802" cy="3760257"/>
            <wp:effectExtent l="25400" t="0" r="0" b="0"/>
            <wp:docPr id="2" name="Bild 1" descr="04 Teledyne FLIR G-Serie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4 Teledyne FLIR G-Serie 1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227802" cy="3760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10CA" w:rsidRPr="00BE10CA" w:rsidRDefault="00BE10CA" w:rsidP="00BE10CA">
      <w:pPr>
        <w:rPr>
          <w:rFonts w:ascii="Arial" w:hAnsi="Arial"/>
        </w:rPr>
      </w:pPr>
    </w:p>
    <w:p w:rsidR="00E730D7" w:rsidRPr="00F764CB" w:rsidRDefault="00BE10CA" w:rsidP="00F764CB">
      <w:pPr>
        <w:rPr>
          <w:rFonts w:ascii="Arial" w:hAnsi="Arial"/>
        </w:rPr>
      </w:pPr>
      <w:r w:rsidRPr="00BE10CA">
        <w:rPr>
          <w:rFonts w:ascii="Arial" w:hAnsi="Arial"/>
        </w:rPr>
        <w:t>Es gibt noch weitere Überlegungen, die bei der Anschaffung des effektivsten Werkzeugs für die jeweilige Aufgabe zu berücksichtigen sind.</w:t>
      </w:r>
      <w:r>
        <w:rPr>
          <w:rFonts w:ascii="Arial" w:hAnsi="Arial"/>
        </w:rPr>
        <w:t xml:space="preserve"> </w:t>
      </w:r>
      <w:r w:rsidRPr="00BE10CA">
        <w:rPr>
          <w:rFonts w:ascii="Arial" w:hAnsi="Arial"/>
        </w:rPr>
        <w:t xml:space="preserve">Weitere Informationen darüber, wie QOGI funktioniert, finden </w:t>
      </w:r>
      <w:r>
        <w:rPr>
          <w:rFonts w:ascii="Arial" w:hAnsi="Arial"/>
        </w:rPr>
        <w:t>sich</w:t>
      </w:r>
      <w:r w:rsidRPr="00BE10CA">
        <w:rPr>
          <w:rFonts w:ascii="Arial" w:hAnsi="Arial"/>
        </w:rPr>
        <w:t xml:space="preserve"> unter </w:t>
      </w:r>
      <w:hyperlink r:id="rId13" w:history="1">
        <w:r w:rsidRPr="00544984">
          <w:rPr>
            <w:rStyle w:val="Link"/>
            <w:rFonts w:ascii="Arial" w:hAnsi="Arial"/>
          </w:rPr>
          <w:t>https://www.flir.eu/discover/webinars/ogi-webinars/Understanding-qogi/</w:t>
        </w:r>
      </w:hyperlink>
    </w:p>
    <w:sectPr w:rsidR="00E730D7" w:rsidRPr="00F764CB" w:rsidSect="00E730D7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id="0">
    <w:p w:rsidR="00E2659E" w:rsidRDefault="00E2659E" w:rsidP="001F6053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1" w:history="1">
        <w:r w:rsidRPr="002209B1">
          <w:rPr>
            <w:rStyle w:val="Link"/>
            <w:rFonts w:ascii="Arial" w:hAnsi="Arial"/>
            <w:sz w:val="18"/>
          </w:rPr>
          <w:t>https://eur-lex.europa.eu/legal-content/EN/TXT/PDF/?uri=OJ:L_202401787</w:t>
        </w:r>
      </w:hyperlink>
    </w:p>
  </w:footnote>
  <w:footnote w:id="1">
    <w:p w:rsidR="00E2659E" w:rsidRPr="00F1667F" w:rsidRDefault="00E2659E" w:rsidP="00F1667F">
      <w:r>
        <w:rPr>
          <w:rStyle w:val="Funotenzeichen"/>
        </w:rPr>
        <w:footnoteRef/>
      </w:r>
      <w:r>
        <w:t xml:space="preserve"> </w:t>
      </w:r>
      <w:r w:rsidRPr="002209B1">
        <w:rPr>
          <w:rFonts w:ascii="Arial" w:hAnsi="Arial"/>
          <w:sz w:val="18"/>
        </w:rPr>
        <w:t xml:space="preserve">siehe auch: </w:t>
      </w:r>
      <w:hyperlink r:id="rId2" w:history="1">
        <w:r w:rsidR="00A6308C" w:rsidRPr="00544984">
          <w:rPr>
            <w:rStyle w:val="Link"/>
            <w:rFonts w:ascii="Arial" w:hAnsi="Arial"/>
            <w:sz w:val="18"/>
          </w:rPr>
          <w:t>https://www.flir.eu/discover/industrial/methane-leak-detection-how-epa-changes-to-nsps-oooob-and-eg-ooooc-impact-ogi-inspection-regulations-and-guidelines</w:t>
        </w:r>
      </w:hyperlink>
      <w:r w:rsidR="00A6308C">
        <w:rPr>
          <w:rFonts w:ascii="Arial" w:hAnsi="Arial"/>
          <w:sz w:val="18"/>
        </w:rPr>
        <w:t xml:space="preserve"> </w:t>
      </w:r>
    </w:p>
  </w:footnote>
  <w:footnote w:id="2">
    <w:p w:rsidR="00E2659E" w:rsidRDefault="00E2659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3" w:history="1">
        <w:r w:rsidR="00A6308C" w:rsidRPr="00544984">
          <w:rPr>
            <w:rStyle w:val="Link"/>
            <w:rFonts w:ascii="Arial" w:hAnsi="Arial"/>
            <w:sz w:val="18"/>
          </w:rPr>
          <w:t>https://www.reuters.com/sustainability/climate-energy/eu-approves-law-hit-gas-imports-with-methane-emissions-limit-2024-05-27</w:t>
        </w:r>
      </w:hyperlink>
      <w:r w:rsidR="00A6308C">
        <w:rPr>
          <w:rFonts w:ascii="Arial" w:hAnsi="Arial"/>
          <w:sz w:val="18"/>
        </w:rPr>
        <w:t xml:space="preserve"> </w:t>
      </w:r>
    </w:p>
  </w:footnote>
  <w:footnote w:id="3">
    <w:p w:rsidR="00E2659E" w:rsidRDefault="00E2659E">
      <w:pPr>
        <w:pStyle w:val="Funotentext"/>
      </w:pPr>
      <w:r>
        <w:rPr>
          <w:rStyle w:val="Funotenzeichen"/>
        </w:rPr>
        <w:footnoteRef/>
      </w:r>
      <w:r>
        <w:t xml:space="preserve"> </w:t>
      </w:r>
      <w:hyperlink r:id="rId4" w:history="1">
        <w:r w:rsidR="00A6308C" w:rsidRPr="00544984">
          <w:rPr>
            <w:rStyle w:val="Link"/>
            <w:rFonts w:ascii="Arial" w:hAnsi="Arial"/>
            <w:sz w:val="18"/>
          </w:rPr>
          <w:t>https://energy.ec.europa.eu/news/new-eu-methane-regulation-reduce-harmful-emissions-fossil-fuels-europe-and-abroad-2024-05-27_en</w:t>
        </w:r>
      </w:hyperlink>
      <w:r w:rsidR="00A6308C">
        <w:rPr>
          <w:rFonts w:ascii="Arial" w:hAnsi="Arial"/>
          <w:sz w:val="18"/>
        </w:rPr>
        <w:t xml:space="preserve"> </w:t>
      </w:r>
    </w:p>
  </w:footnote>
  <w:footnote w:id="4">
    <w:p w:rsidR="00E2659E" w:rsidRPr="00F1667F" w:rsidRDefault="00E2659E" w:rsidP="00F1667F">
      <w:pPr>
        <w:rPr>
          <w:rFonts w:ascii="Arial" w:hAnsi="Arial"/>
          <w:sz w:val="18"/>
        </w:rPr>
      </w:pPr>
      <w:r>
        <w:rPr>
          <w:rStyle w:val="Funotenzeichen"/>
        </w:rPr>
        <w:footnoteRef/>
      </w:r>
      <w:r>
        <w:t xml:space="preserve"> </w:t>
      </w:r>
      <w:hyperlink r:id="rId5" w:history="1">
        <w:r w:rsidR="00A6308C" w:rsidRPr="00544984">
          <w:rPr>
            <w:rStyle w:val="Link"/>
            <w:rFonts w:ascii="Arial" w:hAnsi="Arial"/>
            <w:sz w:val="18"/>
          </w:rPr>
          <w:t>https://www.eea.europa.eu/en/analysis/publications/annual-european-union-greenhouse-gas-2</w:t>
        </w:r>
      </w:hyperlink>
      <w:r w:rsidR="00A6308C">
        <w:rPr>
          <w:rFonts w:ascii="Arial" w:hAnsi="Arial"/>
          <w:sz w:val="18"/>
        </w:rPr>
        <w:t xml:space="preserve"> </w:t>
      </w:r>
    </w:p>
    <w:p w:rsidR="00E2659E" w:rsidRDefault="00E2659E">
      <w:pPr>
        <w:pStyle w:val="Funotentext"/>
      </w:pPr>
    </w:p>
  </w:footnote>
  <w:footnote w:id="5">
    <w:p w:rsidR="00E2659E" w:rsidRPr="003131D7" w:rsidRDefault="00E2659E">
      <w:pPr>
        <w:pStyle w:val="Funotentext"/>
        <w:rPr>
          <w:rFonts w:ascii="Arial" w:hAnsi="Arial"/>
          <w:sz w:val="18"/>
        </w:rPr>
      </w:pPr>
      <w:r>
        <w:rPr>
          <w:rStyle w:val="Funotenzeichen"/>
        </w:rPr>
        <w:footnoteRef/>
      </w:r>
      <w:r>
        <w:t xml:space="preserve"> </w:t>
      </w:r>
      <w:hyperlink r:id="rId6" w:history="1">
        <w:r w:rsidR="00A6308C" w:rsidRPr="00544984">
          <w:rPr>
            <w:rStyle w:val="Link"/>
            <w:rFonts w:ascii="Arial" w:hAnsi="Arial"/>
            <w:sz w:val="18"/>
          </w:rPr>
          <w:t>https://eur-lex.europa.eu/legal-content/EN/TXT/PDF/?uri=OJ:L_202401787</w:t>
        </w:r>
      </w:hyperlink>
      <w:r w:rsidR="00A6308C">
        <w:rPr>
          <w:rFonts w:ascii="Arial" w:hAnsi="Arial"/>
          <w:sz w:val="18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F764CB"/>
    <w:rsid w:val="00070C80"/>
    <w:rsid w:val="000D0C63"/>
    <w:rsid w:val="000D0EDD"/>
    <w:rsid w:val="001252B6"/>
    <w:rsid w:val="00155B9D"/>
    <w:rsid w:val="001B32B1"/>
    <w:rsid w:val="001F6053"/>
    <w:rsid w:val="00293366"/>
    <w:rsid w:val="00302474"/>
    <w:rsid w:val="003131D7"/>
    <w:rsid w:val="00334991"/>
    <w:rsid w:val="003530DA"/>
    <w:rsid w:val="003A2BD5"/>
    <w:rsid w:val="003B49CC"/>
    <w:rsid w:val="003F72BF"/>
    <w:rsid w:val="00461579"/>
    <w:rsid w:val="004B5F1C"/>
    <w:rsid w:val="005B5686"/>
    <w:rsid w:val="00612F2E"/>
    <w:rsid w:val="006571BC"/>
    <w:rsid w:val="006F4A4E"/>
    <w:rsid w:val="006F73DA"/>
    <w:rsid w:val="00763F33"/>
    <w:rsid w:val="00792B9A"/>
    <w:rsid w:val="007E2C4E"/>
    <w:rsid w:val="00807485"/>
    <w:rsid w:val="0089568B"/>
    <w:rsid w:val="008B7AC5"/>
    <w:rsid w:val="008D59C8"/>
    <w:rsid w:val="0090719D"/>
    <w:rsid w:val="0092232B"/>
    <w:rsid w:val="009376F5"/>
    <w:rsid w:val="00A566AB"/>
    <w:rsid w:val="00A6308C"/>
    <w:rsid w:val="00AE64DA"/>
    <w:rsid w:val="00B84AF2"/>
    <w:rsid w:val="00BA735A"/>
    <w:rsid w:val="00BE10CA"/>
    <w:rsid w:val="00C72B97"/>
    <w:rsid w:val="00CA1110"/>
    <w:rsid w:val="00CA3DAA"/>
    <w:rsid w:val="00CC0D35"/>
    <w:rsid w:val="00D60C42"/>
    <w:rsid w:val="00DF032B"/>
    <w:rsid w:val="00E0761A"/>
    <w:rsid w:val="00E15D7E"/>
    <w:rsid w:val="00E2659E"/>
    <w:rsid w:val="00E730D7"/>
    <w:rsid w:val="00E73C1E"/>
    <w:rsid w:val="00E979DD"/>
    <w:rsid w:val="00EA0A7A"/>
    <w:rsid w:val="00F1667F"/>
    <w:rsid w:val="00F764CB"/>
    <w:rsid w:val="00F91764"/>
    <w:rsid w:val="00FE7912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Standard">
    <w:name w:val="Normal"/>
    <w:qFormat/>
    <w:rsid w:val="00914833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Link">
    <w:name w:val="Hyperlink"/>
    <w:basedOn w:val="Absatzstandardschriftart"/>
    <w:uiPriority w:val="99"/>
    <w:semiHidden/>
    <w:unhideWhenUsed/>
    <w:rsid w:val="008B7AC5"/>
    <w:rPr>
      <w:color w:val="0000FF" w:themeColor="hyperlink"/>
      <w:u w:val="single"/>
    </w:rPr>
  </w:style>
  <w:style w:type="character" w:styleId="GesichteterLink">
    <w:name w:val="FollowedHyperlink"/>
    <w:basedOn w:val="Absatzstandardschriftart"/>
    <w:uiPriority w:val="99"/>
    <w:semiHidden/>
    <w:unhideWhenUsed/>
    <w:rsid w:val="00C72B97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eichen"/>
    <w:uiPriority w:val="99"/>
    <w:semiHidden/>
    <w:unhideWhenUsed/>
    <w:rsid w:val="001F6053"/>
  </w:style>
  <w:style w:type="character" w:customStyle="1" w:styleId="FunotentextZeichen">
    <w:name w:val="Fußnotentext Zeichen"/>
    <w:basedOn w:val="Absatzstandardschriftart"/>
    <w:link w:val="Funotentext"/>
    <w:uiPriority w:val="99"/>
    <w:semiHidden/>
    <w:rsid w:val="001F6053"/>
  </w:style>
  <w:style w:type="character" w:styleId="Funotenzeichen">
    <w:name w:val="footnote reference"/>
    <w:basedOn w:val="Absatzstandardschriftart"/>
    <w:uiPriority w:val="99"/>
    <w:semiHidden/>
    <w:unhideWhenUsed/>
    <w:rsid w:val="001F605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infraredtraining.com/de-de/home/%C3%9Cberuns/about/" TargetMode="External"/><Relationship Id="rId12" Type="http://schemas.openxmlformats.org/officeDocument/2006/relationships/image" Target="media/image5.jpeg"/><Relationship Id="rId13" Type="http://schemas.openxmlformats.org/officeDocument/2006/relationships/hyperlink" Target="https://www.flir.eu/discover/webinars/ogi-webinars/Understanding-qogi/" TargetMode="Externa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otnotes" Target="footnotes.xml"/><Relationship Id="rId6" Type="http://schemas.openxmlformats.org/officeDocument/2006/relationships/image" Target="media/image2.jpeg"/><Relationship Id="rId7" Type="http://schemas.openxmlformats.org/officeDocument/2006/relationships/hyperlink" Target="https://www.flir.de/products/flir-ql320/" TargetMode="External"/><Relationship Id="rId8" Type="http://schemas.openxmlformats.org/officeDocument/2006/relationships/hyperlink" Target="https://www.flir.de/products/flir-g-series/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reuters.com/sustainability/climate-energy/eu-approves-law-hit-gas-imports-with-methane-emissions-limit-2024-05-27" TargetMode="External"/><Relationship Id="rId4" Type="http://schemas.openxmlformats.org/officeDocument/2006/relationships/hyperlink" Target="https://energy.ec.europa.eu/news/new-eu-methane-regulation-reduce-harmful-emissions-fossil-fuels-europe-and-abroad-2024-05-27_en" TargetMode="External"/><Relationship Id="rId5" Type="http://schemas.openxmlformats.org/officeDocument/2006/relationships/hyperlink" Target="https://www.eea.europa.eu/en/analysis/publications/annual-european-union-greenhouse-gas-2" TargetMode="External"/><Relationship Id="rId6" Type="http://schemas.openxmlformats.org/officeDocument/2006/relationships/hyperlink" Target="https://eur-lex.europa.eu/legal-content/EN/TXT/PDF/?uri=OJ:L_202401787" TargetMode="External"/><Relationship Id="rId1" Type="http://schemas.openxmlformats.org/officeDocument/2006/relationships/hyperlink" Target="https://eur-lex.europa.eu/legal-content/EN/TXT/PDF/?uri=OJ:L_202401787" TargetMode="External"/><Relationship Id="rId2" Type="http://schemas.openxmlformats.org/officeDocument/2006/relationships/hyperlink" Target="https://www.flir.eu/discover/industrial/methane-leak-detection-how-epa-changes-to-nsps-oooob-and-eg-ooooc-impact-ogi-inspection-regulations-and-guidelines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1113</Words>
  <Characters>6347</Characters>
  <Application>Microsoft Word 12.1.0</Application>
  <DocSecurity>0</DocSecurity>
  <Lines>52</Lines>
  <Paragraphs>12</Paragraphs>
  <ScaleCrop>false</ScaleCrop>
  <LinksUpToDate>false</LinksUpToDate>
  <CharactersWithSpaces>7794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</dc:creator>
  <cp:keywords/>
  <cp:lastModifiedBy>Frank</cp:lastModifiedBy>
  <cp:revision>16</cp:revision>
  <dcterms:created xsi:type="dcterms:W3CDTF">2025-03-11T11:12:00Z</dcterms:created>
  <dcterms:modified xsi:type="dcterms:W3CDTF">2025-03-19T11:31:00Z</dcterms:modified>
</cp:coreProperties>
</file>